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Grade Health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Friends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Mr. Damm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michael_damm@fa.org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“When you have your health, you have just about everything.”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6</w:t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grade health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course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is a year-long class that examines many facets of health.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ur curriculum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will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center around the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physical, mental, and social-emotional health domains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that contribute to one’s wellness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; 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even life management skills, healthy relationships, d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igital citizenship (social media),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violence prevention/bullying, drug abuse/misuse, and family health/sexual health will be covered.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Curriculum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Great Body Shop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Textbook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There is no formal textbook for this class.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Loose-leaf binder for notes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Paper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Pen/pencil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Chrom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book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Portfolio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How grades will be determined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Assessments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Projects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Homework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Class participation </w:t>
      </w:r>
    </w:p>
    <w:p w:rsidR="00000000" w:rsidDel="00000000" w:rsidP="00000000" w:rsidRDefault="00000000" w:rsidRPr="00000000" w14:paraId="0000001D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  <w:rtl w:val="0"/>
        </w:rPr>
        <w:t xml:space="preserve">In keeping with the academic honesty policy, the work that any student brings to class should be his or her own, irrespective of whether it is being collected or graded.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