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0" w:firstLine="0"/>
        <w:contextualSpacing w:val="0"/>
      </w:pPr>
      <w:r w:rsidRPr="00000000" w:rsidR="00000000" w:rsidDel="00000000">
        <w:rPr>
          <w:vertAlign w:val="baseline"/>
          <w:rtl w:val="0"/>
        </w:rPr>
        <w:t xml:space="preserve">Reasons for Hope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In the face of all the bad news there is reason for hope. We can and we have solved environmental problems. There are reasons to be optimistic.</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In 1963 there were only 24 nesting pairs on Long Island Sound, thanks to the Endangered Species Act there are now 230 and growing.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Extensive areas for Long Island Sound became “Dead Zones” each summer. The Clean Water Act of 1977 had three purposes reduce direct discharge, fund water treatment and manage non point sources. This led directly to the rebirth of Long Island Sound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Remember the hole in the Ozone layer? One Hundred and Ninety Five countries have signed the Montreal Protocols to stop the production and use of CFC. The hole is closing</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Land Preservation</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Reason is Hope.docx</dc:title>
</cp:coreProperties>
</file>